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onlmxstwamuy" w:id="0"/>
      <w:bookmarkEnd w:id="0"/>
      <w:r w:rsidDel="00000000" w:rsidR="00000000" w:rsidRPr="00000000">
        <w:rPr>
          <w:b w:val="1"/>
          <w:bCs w:val="1"/>
          <w:rtl w:val="0"/>
        </w:rPr>
        <w:t xml:space="preserve">NOTA TÉCNICA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aorw0838sp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ARQUITETURA DE REFERÊNCIA COM CRM E IA AVANÇADA PARA CONSTRUTORAS BASEADAS NO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/>
      </w:pPr>
      <w:bookmarkStart w:colFirst="0" w:colLast="0" w:name="_54umgojohmv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eiuuljov79d8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OBJETIVO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Estabelecer uma arquitetura de referência integrada para construtoras que utilizam o Sienge, incorporando:</w:t>
      </w:r>
    </w:p>
    <w:p w:rsidR="00000000" w:rsidDel="00000000" w:rsidP="00000000" w:rsidRDefault="00000000" w:rsidRPr="00000000" w14:paraId="00000006">
      <w:pPr>
        <w:numPr>
          <w:ilvl w:val="0"/>
          <w:numId w:val="2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CRM (Customer Relationship Management) como componente estruturante da função comercial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Inteligência Artificial avançada (preditiva, semântica e agentes)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camadas de dados, serviços e governança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foco em: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robustez operacional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previsibilidade comercial e financeira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escalabilidade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redução de riscos institucionais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mu45ovnpueg6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CONTEXTO E JUSTIFICATIVA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Historicamente, construtoras estruturam sua operação em torno do ERP, concentrando nele: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registros comerciais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financeiro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 de obras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Entretanto, essa abordagem apresenta limitações relevantes: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ausência de governança sobre o processo comercial anterior à venda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baixa visibilidade do funil de vendas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fragmentação de dados de relacionamento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dificuldade de aplicação de inteligência artificial na frente comercial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Nesse contexto, a introdução de um CRM como camada especializada de relacionamento torna-se elemento fundamental para a maturidade da arquitetura.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bjccxkq0rdfa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PRINCÍPIOS ARQUITETURAIS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niou96y84p3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Especialização de sistemas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Sienge → sistema de registro e execução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CRM → sistema de relacionamento e gestão comercial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kiemb9i6pk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Separação entre formação e formalização da receita</w:t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Formação da receita → CRM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Formalização e execução → ERP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th2eg35xd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Desacoplamento via serviços</w:t>
      </w:r>
    </w:p>
    <w:p w:rsidR="00000000" w:rsidDel="00000000" w:rsidP="00000000" w:rsidRDefault="00000000" w:rsidRPr="00000000" w14:paraId="00000022">
      <w:pPr>
        <w:numPr>
          <w:ilvl w:val="0"/>
          <w:numId w:val="2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integração entre CRM e ERP deve ocorrer por APIs e eventos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evitar integrações ponto a ponto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z72rrpsqvr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 Centralidade dos dados</w:t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visão unificada construída na plataforma de dados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definição clara de “fonte oficial” por domínio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8pk69fvlh3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3.5 Governança e auditabilidade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rastreabilidade completa de decisões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 sobre ações automatizadas por IA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1agmektvybtr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ARQUITETURA DE REFERÊNCIA (COM CRM)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arquitetura proposta é composta por sete camadas integradas.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s8pe485e7e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Camada de Experiência e Relacionamento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CRM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portais de corretores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canais digitais (site, WhatsApp, apps)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automação de marketing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assistentes comerciais com IA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captação e gestão de leads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condução do funil comercial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gestão da jornada do cliente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9ybpojugoh7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Camada de Orquestração e Serviços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API Gateway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BPM / workflow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microsserviços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barramento de eventos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integrar CRM, ERP e demais sistemas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controlar processos ponta a ponta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36h83pcdysv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 Camada de Sistemas Transacionais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Sienge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sistemas financeiros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compras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planejamento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480" w:before="480" w:lineRule="auto"/>
        <w:ind w:left="720" w:hanging="360"/>
      </w:pPr>
      <w:r w:rsidDel="00000000" w:rsidR="00000000" w:rsidRPr="00000000">
        <w:rPr>
          <w:rtl w:val="0"/>
        </w:rPr>
        <w:t xml:space="preserve">execução e registro das operações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a1oomfdyt8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 Camada de Plataforma de Dados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Componentes: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Data Lake / Lakehouse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pipelines de ingestão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catálogo de dados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dados mestres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repositório documental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unificação da visão da operação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suporte à inteligência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a8u41ev9z3i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 Camada de Inteligência Artificial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55">
      <w:pPr>
        <w:numPr>
          <w:ilvl w:val="0"/>
          <w:numId w:val="2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IA preditiva (vendas, obras, financeiro)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IA semântica (contratos e documentos)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agentes especializados (comercial, obra, suprimentos)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orquestrador de agentes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z73r6kjdv4z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4.6 Camada de Governança e Segurança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auditoria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 de acesso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validação humana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versionamento de modelos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políticas de uso de IA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qppelcb4kka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4.7 Camada de Observabilidade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Inclui: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monitoramento de processos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monitoramento de IA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métricas de desempenho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rastreamento de eventos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eo12un6xf183" w:id="19"/>
      <w:bookmarkEnd w:id="1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PAPEL DO CRM NA ARQUITETURA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CRM assume papel central na governança da função comercial, sendo responsável por:</w:t>
      </w:r>
    </w:p>
    <w:p w:rsidR="00000000" w:rsidDel="00000000" w:rsidP="00000000" w:rsidRDefault="00000000" w:rsidRPr="00000000" w14:paraId="00000068">
      <w:pPr>
        <w:numPr>
          <w:ilvl w:val="0"/>
          <w:numId w:val="2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gestão de leads e oportunidades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 do pipeline de vendas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registro de interações com clientes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suporte à atuação de corretores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com marketing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2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para aplicação de IA comercial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n5g77z8uizho" w:id="20"/>
      <w:bookmarkEnd w:id="2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QUANDO O CRM PASSA A SER ALTAMENTE RECOMENDÁVEL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CRM deixa de ser opcional e passa a ser altamente recomendável (praticamente obrigatório) quando a organização apresenta um ou mais dos seguintes elementos: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m9dsn96h35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 Complexidade comercial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múltiplos empreendimentos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múltiplas unidades à venda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ciclos de venda longos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ze1qlm9rmdw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 Estrutura de vendas distribuída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uso de corretores externos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múltiplos canais de venda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equipes comerciais descentralizadas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4f8k1p8io9m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 Geração ativa de leads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campanhas de marketing digital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captação por múltiplos canais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necessidade de rastrear origem e conversão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vrw7kku03o6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6.4 Necessidade de previsibilidade</w:t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projeção de vendas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gestão de metas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1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planejamento financeiro dependente de vendas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hx7q4urmrko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6.5 Intenção de uso de IA</w:t>
      </w:r>
    </w:p>
    <w:p w:rsidR="00000000" w:rsidDel="00000000" w:rsidP="00000000" w:rsidRDefault="00000000" w:rsidRPr="00000000" w14:paraId="00000081">
      <w:pPr>
        <w:numPr>
          <w:ilvl w:val="0"/>
          <w:numId w:val="3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recomendação de próxima ação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priorização de leads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previsão de conversão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3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personalização de abordagem</w:t>
        <w:br w:type="textWrapping"/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Neste ponto, o CRM torna-se condição necessária para IA comercial eficaz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cxyv6l35sns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6.6 Escala operacional</w:t>
      </w:r>
    </w:p>
    <w:p w:rsidR="00000000" w:rsidDel="00000000" w:rsidP="00000000" w:rsidRDefault="00000000" w:rsidRPr="00000000" w14:paraId="00000087">
      <w:pPr>
        <w:numPr>
          <w:ilvl w:val="0"/>
          <w:numId w:val="2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alto volume de clientes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grande número de interações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2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necessidade de padronização</w:t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7gby0kyb4kw5" w:id="27"/>
      <w:bookmarkEnd w:id="2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RESPONSABILIDADES ENTRE CRM E ERP</w:t>
      </w:r>
    </w:p>
    <w:tbl>
      <w:tblPr>
        <w:tblStyle w:val="Table1"/>
        <w:tblW w:w="5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1455"/>
        <w:gridCol w:w="1710"/>
        <w:tblGridChange w:id="0">
          <w:tblGrid>
            <w:gridCol w:w="2415"/>
            <w:gridCol w:w="1455"/>
            <w:gridCol w:w="1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Domínio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ERP (Sienge)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Oportunidade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Interação com cliente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Proposta formal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Recebíveis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Comissão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</w:p>
        </w:tc>
      </w:tr>
    </w:tbl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y0c4v11jj4aa" w:id="28"/>
      <w:bookmarkEnd w:id="2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BENEFÍCIOS DA INCLUSÃO DO CRM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aumento da conversão de vendas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maior controle do funil comercial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melhor previsibilidade de receita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maior produtividade da equipe comercial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estruturada para uso de IA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entre marketing, vendas e financeiro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v0h464im23" w:id="29"/>
      <w:bookmarkEnd w:id="2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RISCOS DA NÃO INCLUSÃO DO CRM</w:t>
      </w:r>
    </w:p>
    <w:p w:rsidR="00000000" w:rsidDel="00000000" w:rsidP="00000000" w:rsidRDefault="00000000" w:rsidRPr="00000000" w14:paraId="000000AC">
      <w:pPr>
        <w:numPr>
          <w:ilvl w:val="0"/>
          <w:numId w:val="2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perda de leads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baixa visibilidade do pipeline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dependência excessiva de indivíduos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impossibilidade de aplicar IA comercial com qualidade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2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fragmentação de dados de relacionamento</w:t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993d5ri6eeb" w:id="30"/>
      <w:bookmarkEnd w:id="3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CONCLUSÃO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inclusão de um CRM na arquitetura de solução de construtoras que utilizam o Sienge não deve ser tratada como uma escolha tecnológica pontual, mas como uma decisão arquitetural e estratégica.</w:t>
      </w:r>
    </w:p>
    <w:p w:rsidR="00000000" w:rsidDel="00000000" w:rsidP="00000000" w:rsidRDefault="00000000" w:rsidRPr="00000000" w14:paraId="000000B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CRM estrutura a formação da receita, enquanto o ERP estrutura sua formalização e execução.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ambientes com:</w:t>
      </w:r>
    </w:p>
    <w:p w:rsidR="00000000" w:rsidDel="00000000" w:rsidP="00000000" w:rsidRDefault="00000000" w:rsidRPr="00000000" w14:paraId="000000B5">
      <w:pPr>
        <w:numPr>
          <w:ilvl w:val="0"/>
          <w:numId w:val="2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escala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múltiplos canais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 IA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2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necessidade de governança</w:t>
        <w:br w:type="textWrapping"/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CRM passa a ser: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i w:val="1"/>
          <w:iCs w:val="1"/>
          <w:rtl w:val="0"/>
        </w:rPr>
        <w:t xml:space="preserve">componente essencial para a robustez e maturidade da arquitetura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y2digf7h4ur2" w:id="31"/>
      <w:bookmarkEnd w:id="3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RECOMENDAÇÃO FINAL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Recomenda-se que a organização: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Inclua CRM como domínio arquitetural formal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Defina claramente responsabilidades entre CRM e ERP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Estruture integração via APIs e eventos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Consolide dados em plataforma unificada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Utilize IA de forma progressiva e governada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